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E681C" w14:textId="7083D239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648A9C1B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4B08335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2D698658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8B3EF7">
        <w:rPr>
          <w:rFonts w:ascii="Arial" w:hAnsi="Arial" w:cs="Arial"/>
          <w:b/>
        </w:rPr>
        <w:t xml:space="preserve">   7</w:t>
      </w:r>
      <w:r>
        <w:rPr>
          <w:rFonts w:ascii="Arial" w:hAnsi="Arial" w:cs="Arial"/>
          <w:b/>
        </w:rPr>
        <w:t xml:space="preserve">. </w:t>
      </w:r>
      <w:r w:rsidR="008B3EF7">
        <w:rPr>
          <w:rFonts w:ascii="Arial" w:hAnsi="Arial" w:cs="Arial"/>
          <w:b/>
        </w:rPr>
        <w:t>května</w:t>
      </w:r>
      <w:r>
        <w:rPr>
          <w:rFonts w:ascii="Arial" w:hAnsi="Arial" w:cs="Arial"/>
          <w:b/>
        </w:rPr>
        <w:t xml:space="preserve"> 2020</w:t>
      </w:r>
    </w:p>
    <w:p w14:paraId="5DAB6C7B" w14:textId="08E93585" w:rsidR="00E51526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789392E5" w14:textId="522564B5" w:rsidR="00E51526" w:rsidRDefault="00376B98">
      <w:pPr>
        <w:pStyle w:val="Standard"/>
        <w:spacing w:line="320" w:lineRule="atLeast"/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>Nová pobočka firmy Epitrend v Košicíc</w:t>
      </w:r>
      <w:r w:rsidR="00132646">
        <w:rPr>
          <w:rFonts w:ascii="Arial" w:hAnsi="Arial" w:cs="Arial"/>
          <w:b/>
          <w:color w:val="000000"/>
          <w:sz w:val="28"/>
          <w:szCs w:val="32"/>
        </w:rPr>
        <w:t>h využívá k vytápění, větrání i</w:t>
      </w:r>
      <w:r w:rsidR="00113229">
        <w:rPr>
          <w:rFonts w:ascii="Arial" w:hAnsi="Arial" w:cs="Arial"/>
          <w:b/>
          <w:color w:val="000000"/>
          <w:sz w:val="28"/>
          <w:szCs w:val="32"/>
        </w:rPr>
        <w:t> </w:t>
      </w:r>
      <w:r>
        <w:rPr>
          <w:rFonts w:ascii="Arial" w:hAnsi="Arial" w:cs="Arial"/>
          <w:b/>
          <w:color w:val="000000"/>
          <w:sz w:val="28"/>
          <w:szCs w:val="32"/>
        </w:rPr>
        <w:t>ohřevu vody systém NIBE</w:t>
      </w:r>
    </w:p>
    <w:p w14:paraId="02EB378F" w14:textId="236E5661" w:rsidR="00E51526" w:rsidRDefault="00E51526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AC0217" w14:textId="3408A7E0" w:rsidR="00E51526" w:rsidRDefault="00376B98" w:rsidP="00EC13E5">
      <w:pPr>
        <w:pStyle w:val="Standard"/>
        <w:spacing w:line="320" w:lineRule="atLeast"/>
        <w:ind w:left="80" w:right="1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Slovenská společnost Epitrend, která se specializuje na montáž a servis tepelných čerpadel, se rozhodla </w:t>
      </w:r>
      <w:r w:rsidR="00E80103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zrekonstruovat </w:t>
      </w:r>
      <w:r w:rsidR="4497A891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 své potřeby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administrativně skladový areál v Košicích. </w:t>
      </w:r>
      <w:r w:rsidR="2CC52458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elkou pozornost</w:t>
      </w:r>
      <w:r w:rsidR="2DAC2CEF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věnovala především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výběru energeticky úsporného zdroje tepla, který by byl </w:t>
      </w:r>
      <w:r w:rsidR="00132646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nejen šetrný k životnímu prostředí, ale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32646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zároveň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zajišťoval 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zdravé 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vnitřní prostředí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 zaměstnance. </w:t>
      </w:r>
      <w:r w:rsidR="00132646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a základě</w:t>
      </w:r>
      <w:r w:rsidR="3AAD951D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jejích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32646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znalostí</w:t>
      </w:r>
      <w:r w:rsidR="52FED283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32646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a 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zkušeností </w:t>
      </w:r>
      <w:r w:rsidR="159C0C3F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 oboru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 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jako nejefektivnější 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ukázal být </w:t>
      </w:r>
      <w:r w:rsidR="00EC13E5"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systém od </w:t>
      </w:r>
      <w:r w:rsidRPr="2DEEEC53">
        <w:rPr>
          <w:rFonts w:ascii="Arial" w:hAnsi="Arial" w:cs="Arial"/>
          <w:b/>
          <w:bCs/>
          <w:color w:val="000000" w:themeColor="text1"/>
          <w:sz w:val="22"/>
          <w:szCs w:val="22"/>
        </w:rPr>
        <w:t>společnosti NIBE Energy Systems CZ, výhradního dodavatele švédských tepelných čerpadel NIBE a NIBE „S” do České republiky a na Slovensko.</w:t>
      </w:r>
    </w:p>
    <w:p w14:paraId="6A05A809" w14:textId="77777777" w:rsidR="00E51526" w:rsidRDefault="00E51526">
      <w:pPr>
        <w:pStyle w:val="Standard"/>
        <w:spacing w:line="320" w:lineRule="atLeast"/>
        <w:ind w:left="80" w:right="1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5389D0" w14:textId="5C2FCEA2" w:rsidR="00E51526" w:rsidRDefault="008B3EF7">
      <w:pPr>
        <w:pStyle w:val="Standard"/>
        <w:spacing w:line="320" w:lineRule="atLeast"/>
        <w:ind w:left="112" w:right="1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F0257C6" wp14:editId="5998B736">
            <wp:simplePos x="0" y="0"/>
            <wp:positionH relativeFrom="margin">
              <wp:posOffset>4265295</wp:posOffset>
            </wp:positionH>
            <wp:positionV relativeFrom="margin">
              <wp:posOffset>5259070</wp:posOffset>
            </wp:positionV>
            <wp:extent cx="1892935" cy="1419860"/>
            <wp:effectExtent l="7938" t="0" r="952" b="953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 01-04-2020, 13 40 58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293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BF23E76" wp14:editId="53FD83C8">
            <wp:simplePos x="0" y="0"/>
            <wp:positionH relativeFrom="margin">
              <wp:posOffset>-139065</wp:posOffset>
            </wp:positionH>
            <wp:positionV relativeFrom="margin">
              <wp:posOffset>3616960</wp:posOffset>
            </wp:positionV>
            <wp:extent cx="1853565" cy="1390015"/>
            <wp:effectExtent l="3175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 11-12-2019, 16 03 1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356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98">
        <w:rPr>
          <w:rFonts w:ascii="Arial" w:hAnsi="Arial" w:cs="Arial"/>
          <w:color w:val="000000"/>
          <w:sz w:val="22"/>
          <w:szCs w:val="22"/>
        </w:rPr>
        <w:t>„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>Společnost Epitrend má s instalací a servisem tepelných čerpadel NIBE mnohaleté zkušenosti, a právě na jejich základě tak mohla do svých nových prostor v Košicích zvolit optimální systém pro vytápění i ohřev teplé vody. Přestože již byla na místě zavedena plynová přípojka, nezvolila si to nejjednodušší řešení, které se nabízelo, tedy plynový kotel</w:t>
      </w:r>
      <w:r w:rsidR="00EC13E5" w:rsidRPr="619BB651">
        <w:rPr>
          <w:rFonts w:ascii="Arial" w:hAnsi="Arial" w:cs="Arial"/>
          <w:i/>
          <w:iCs/>
          <w:color w:val="000000"/>
          <w:sz w:val="22"/>
          <w:szCs w:val="22"/>
        </w:rPr>
        <w:t>. Rozhodla se pro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mnohem promyšlenější systém, vhodný pro kanceláře zaměstnanců i skladové prostory. Kombinace tepelného čerpadla vzduch-voda </w:t>
      </w:r>
      <w:hyperlink r:id="rId10" w:history="1">
        <w:r w:rsidR="00376B98" w:rsidRPr="619BB651">
          <w:rPr>
            <w:rFonts w:ascii="Arial" w:hAnsi="Arial" w:cs="Arial"/>
            <w:i/>
            <w:iCs/>
            <w:color w:val="000000"/>
            <w:sz w:val="22"/>
            <w:szCs w:val="22"/>
          </w:rPr>
          <w:t>NIBE F2120</w:t>
        </w:r>
      </w:hyperlink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>, řídicího modulu SMO 40 a ventilačního tepelného čerpadlo NI</w:t>
      </w:r>
      <w:r w:rsidR="43A7DD6D" w:rsidRPr="619BB651">
        <w:rPr>
          <w:rFonts w:ascii="Arial" w:hAnsi="Arial" w:cs="Arial"/>
          <w:i/>
          <w:iCs/>
          <w:color w:val="000000"/>
          <w:sz w:val="22"/>
          <w:szCs w:val="22"/>
        </w:rPr>
        <w:t>B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>E F130 totiž umožň</w:t>
      </w:r>
      <w:r w:rsidR="00EC13E5" w:rsidRPr="619BB651">
        <w:rPr>
          <w:rFonts w:ascii="Arial" w:hAnsi="Arial" w:cs="Arial"/>
          <w:i/>
          <w:iCs/>
          <w:color w:val="000000"/>
          <w:sz w:val="22"/>
          <w:szCs w:val="22"/>
        </w:rPr>
        <w:t>uje nejen energeticky úsporné a 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>ekologické vytápění, ale také větrání a ohřev vody. K opravdu e</w:t>
      </w:r>
      <w:r w:rsidR="00EC13E5" w:rsidRPr="619BB651">
        <w:rPr>
          <w:rFonts w:ascii="Arial" w:hAnsi="Arial" w:cs="Arial"/>
          <w:i/>
          <w:iCs/>
          <w:color w:val="000000"/>
          <w:sz w:val="22"/>
          <w:szCs w:val="22"/>
        </w:rPr>
        <w:t>fektivnímu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provozu pomáhají i rozvody</w:t>
      </w:r>
      <w:r w:rsidR="00EC13E5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podlahového topení, díky nimž</w:t>
      </w:r>
      <w:r w:rsidR="00376B98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může být vstupní teplota vody nízká a lze jimi zajistit i chlazení interiéru,“ </w:t>
      </w:r>
      <w:r w:rsidR="00376B98">
        <w:rPr>
          <w:rFonts w:ascii="Arial" w:hAnsi="Arial" w:cs="Arial"/>
          <w:color w:val="000000"/>
          <w:sz w:val="22"/>
          <w:szCs w:val="22"/>
        </w:rPr>
        <w:t>vysvětluje Jiří Sedláček, ředitel prodeje NIBE Energy Systems CZ.</w:t>
      </w:r>
    </w:p>
    <w:p w14:paraId="5A39BBE3" w14:textId="25D6E824" w:rsidR="00E51526" w:rsidRDefault="00E51526">
      <w:pPr>
        <w:pStyle w:val="Standard"/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6B220A16" w14:textId="3116F44B" w:rsidR="008B3EF7" w:rsidRDefault="008B3EF7" w:rsidP="00EC13E5">
      <w:pPr>
        <w:pStyle w:val="Standard"/>
        <w:tabs>
          <w:tab w:val="left" w:pos="240"/>
        </w:tabs>
        <w:spacing w:line="320" w:lineRule="atLeast"/>
        <w:ind w:left="80" w:right="1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6C6531A" wp14:editId="78770D49">
            <wp:simplePos x="0" y="0"/>
            <wp:positionH relativeFrom="margin">
              <wp:align>left</wp:align>
            </wp:positionH>
            <wp:positionV relativeFrom="margin">
              <wp:posOffset>7615986</wp:posOffset>
            </wp:positionV>
            <wp:extent cx="1724660" cy="1247775"/>
            <wp:effectExtent l="0" t="0" r="889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ZD_ventilační TČ_NIBE F130 (F135)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8058" cy="125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98">
        <w:rPr>
          <w:rFonts w:ascii="Arial" w:hAnsi="Arial" w:cs="Arial"/>
          <w:color w:val="000000"/>
          <w:sz w:val="22"/>
          <w:szCs w:val="22"/>
        </w:rPr>
        <w:t xml:space="preserve">Každá část systému plní důležitou funkci, která přispívá k jeho optimalizaci. 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 xml:space="preserve">Zatímco </w:t>
      </w:r>
      <w:r w:rsidR="00EC13E5">
        <w:rPr>
          <w:rFonts w:ascii="Arial" w:hAnsi="Arial" w:cs="Arial"/>
          <w:color w:val="000000"/>
          <w:sz w:val="22"/>
          <w:szCs w:val="22"/>
        </w:rPr>
        <w:t xml:space="preserve">čerpadlo 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>NI</w:t>
      </w:r>
      <w:r w:rsidR="00EC13E5">
        <w:rPr>
          <w:rFonts w:ascii="Arial" w:hAnsi="Arial" w:cs="Arial"/>
          <w:color w:val="000000"/>
          <w:sz w:val="22"/>
          <w:szCs w:val="22"/>
        </w:rPr>
        <w:t>BE F2120 je určené k vytápění a 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 xml:space="preserve">chlazení vnitřních prostor, </w:t>
      </w:r>
      <w:hyperlink r:id="rId12" w:history="1">
        <w:r w:rsidR="00376B98" w:rsidRPr="00EC13E5">
          <w:rPr>
            <w:rFonts w:ascii="Arial" w:hAnsi="Arial" w:cs="Arial"/>
            <w:sz w:val="22"/>
            <w:szCs w:val="22"/>
          </w:rPr>
          <w:t>NIBE F130</w:t>
        </w:r>
      </w:hyperlink>
      <w:r w:rsidR="00EC13E5">
        <w:rPr>
          <w:rFonts w:ascii="Arial" w:hAnsi="Arial" w:cs="Arial"/>
          <w:color w:val="000000"/>
          <w:sz w:val="22"/>
          <w:szCs w:val="22"/>
        </w:rPr>
        <w:t xml:space="preserve"> slouží k řízené ventilaci se 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>zpětným získáváním tepla pro ohřev teplé vody. Jakmile se zajistí její dostatečná zásoba, dojde k přepnutí tř</w:t>
      </w:r>
      <w:r w:rsidR="00EC13E5">
        <w:rPr>
          <w:rFonts w:ascii="Arial" w:hAnsi="Arial" w:cs="Arial"/>
          <w:color w:val="000000"/>
          <w:sz w:val="22"/>
          <w:szCs w:val="22"/>
        </w:rPr>
        <w:t>ícestného směšovacího ventilu a 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>přeby</w:t>
      </w:r>
      <w:r w:rsidR="00EC13E5">
        <w:rPr>
          <w:rFonts w:ascii="Arial" w:hAnsi="Arial" w:cs="Arial"/>
          <w:color w:val="000000"/>
          <w:sz w:val="22"/>
          <w:szCs w:val="22"/>
        </w:rPr>
        <w:t>tečné teplo se začne ukládat do 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>akumulační nádrže NAD 250 k následnému využití. Ke vzdálené správě všech částí systému pomoc</w:t>
      </w:r>
      <w:r w:rsidR="6F725245" w:rsidRPr="00EC13E5">
        <w:rPr>
          <w:rFonts w:ascii="Arial" w:hAnsi="Arial" w:cs="Arial"/>
          <w:color w:val="000000"/>
          <w:sz w:val="22"/>
          <w:szCs w:val="22"/>
        </w:rPr>
        <w:t>í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 xml:space="preserve"> chytrého telefonu nebo tabletu </w:t>
      </w:r>
      <w:r w:rsidR="00EC13E5">
        <w:rPr>
          <w:rFonts w:ascii="Arial" w:hAnsi="Arial" w:cs="Arial"/>
          <w:color w:val="000000"/>
          <w:sz w:val="22"/>
          <w:szCs w:val="22"/>
        </w:rPr>
        <w:t>slouží aplikace</w:t>
      </w:r>
      <w:r w:rsidR="00376B98" w:rsidRPr="00EC13E5">
        <w:rPr>
          <w:rFonts w:ascii="Arial" w:hAnsi="Arial" w:cs="Arial"/>
          <w:color w:val="000000"/>
          <w:sz w:val="22"/>
          <w:szCs w:val="22"/>
        </w:rPr>
        <w:t xml:space="preserve"> NIBE Uplink.</w:t>
      </w:r>
    </w:p>
    <w:p w14:paraId="6F2A4283" w14:textId="6197CBC5" w:rsidR="008B3EF7" w:rsidRDefault="008B3EF7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6885249B" w14:textId="77777777" w:rsidR="008B3EF7" w:rsidRDefault="008B3EF7" w:rsidP="008B3EF7">
      <w:pPr>
        <w:pStyle w:val="Standard"/>
        <w:tabs>
          <w:tab w:val="left" w:pos="240"/>
        </w:tabs>
        <w:spacing w:line="320" w:lineRule="atLeast"/>
        <w:ind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110B2D76" w14:textId="1E06089D" w:rsidR="00E51526" w:rsidRPr="00EC13E5" w:rsidRDefault="00EC13E5" w:rsidP="008B3EF7">
      <w:pPr>
        <w:pStyle w:val="Standard"/>
        <w:tabs>
          <w:tab w:val="left" w:pos="240"/>
        </w:tabs>
        <w:spacing w:line="320" w:lineRule="atLeast"/>
        <w:ind w:right="105"/>
        <w:jc w:val="both"/>
      </w:pPr>
      <w:r>
        <w:t xml:space="preserve"> </w:t>
      </w:r>
      <w:r w:rsidR="00376B98" w:rsidRPr="619BB651">
        <w:rPr>
          <w:rFonts w:ascii="Arial" w:hAnsi="Arial" w:cs="Arial"/>
          <w:i/>
          <w:iCs/>
          <w:color w:val="000000"/>
          <w:sz w:val="18"/>
          <w:szCs w:val="18"/>
        </w:rPr>
        <w:t>Ventilační tepelné čerpadlo NIBE F130</w:t>
      </w:r>
    </w:p>
    <w:p w14:paraId="41C8F396" w14:textId="77777777" w:rsidR="00E51526" w:rsidRDefault="00E51526">
      <w:pPr>
        <w:pStyle w:val="Standard"/>
        <w:tabs>
          <w:tab w:val="left" w:pos="240"/>
        </w:tabs>
        <w:spacing w:line="320" w:lineRule="atLeast"/>
        <w:ind w:left="80" w:right="105"/>
        <w:jc w:val="both"/>
        <w:rPr>
          <w:rFonts w:ascii="Arial" w:hAnsi="Arial" w:cs="Arial"/>
          <w:color w:val="000000"/>
          <w:sz w:val="22"/>
          <w:szCs w:val="22"/>
        </w:rPr>
      </w:pPr>
    </w:p>
    <w:p w14:paraId="42627775" w14:textId="77777777" w:rsidR="00E51526" w:rsidRDefault="00376B9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 společnosti DZ Dražice a skupině NIBE</w:t>
      </w:r>
    </w:p>
    <w:p w14:paraId="2F44CB39" w14:textId="3AE35AB0" w:rsidR="003174FF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158E5B2" w14:textId="77777777" w:rsidR="00E51526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roce 2006 se firma stala součástí švédské společnosti NIBE Industrier AB se sídlem v Markarydu. Jednou z jejích tří divizí je NIBE Climate Solutions,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Energy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0E27B00A" w14:textId="77777777" w:rsidR="00E51526" w:rsidRDefault="00E5152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DD9167A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7DE8148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3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40CDE91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4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0061E4C" w14:textId="77777777" w:rsidR="00E51526" w:rsidRDefault="00E5152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29E2E7D5" w14:textId="77777777" w:rsidR="00E51526" w:rsidRDefault="003174F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5" w:history="1">
        <w:r w:rsidR="00376B98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76B98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376B98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44EAFD9C" w14:textId="77777777" w:rsidR="00E51526" w:rsidRDefault="00E51526">
      <w:pPr>
        <w:pStyle w:val="Normlnweb"/>
        <w:spacing w:before="0" w:after="0"/>
        <w:jc w:val="both"/>
      </w:pPr>
    </w:p>
    <w:sectPr w:rsidR="00E51526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D5A5" w14:textId="77777777" w:rsidR="00376B98" w:rsidRDefault="00376B98">
      <w:r>
        <w:separator/>
      </w:r>
    </w:p>
  </w:endnote>
  <w:endnote w:type="continuationSeparator" w:id="0">
    <w:p w14:paraId="3DEEC669" w14:textId="77777777" w:rsidR="00376B98" w:rsidRDefault="0037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B9AB" w14:textId="77777777" w:rsidR="00376B98" w:rsidRDefault="00376B98">
      <w:r>
        <w:rPr>
          <w:color w:val="000000"/>
        </w:rPr>
        <w:separator/>
      </w:r>
    </w:p>
  </w:footnote>
  <w:footnote w:type="continuationSeparator" w:id="0">
    <w:p w14:paraId="45FB0818" w14:textId="77777777" w:rsidR="00376B98" w:rsidRDefault="0037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8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113229"/>
    <w:rsid w:val="00132646"/>
    <w:rsid w:val="003174FF"/>
    <w:rsid w:val="00376B98"/>
    <w:rsid w:val="008B3EF7"/>
    <w:rsid w:val="008E493F"/>
    <w:rsid w:val="00BF2303"/>
    <w:rsid w:val="00E51526"/>
    <w:rsid w:val="00E80103"/>
    <w:rsid w:val="00EC13E5"/>
    <w:rsid w:val="159C0C3F"/>
    <w:rsid w:val="22195F07"/>
    <w:rsid w:val="2CC52458"/>
    <w:rsid w:val="2DAC2CEF"/>
    <w:rsid w:val="2DEEEC53"/>
    <w:rsid w:val="3AAD951D"/>
    <w:rsid w:val="43A7DD6D"/>
    <w:rsid w:val="4497A891"/>
    <w:rsid w:val="52FED283"/>
    <w:rsid w:val="5C046E57"/>
    <w:rsid w:val="619BB651"/>
    <w:rsid w:val="67F044D3"/>
    <w:rsid w:val="6F7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nka.vybulk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ibe.cz/ventilacni-tepelna-cerpadla/tepelne-cerpadlo-nibe-f1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b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s://www.nibe.cz/tepelna-cerpadla-vzduch-voda/tepelne-cerpadlo-nibe-f21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11</cp:revision>
  <cp:lastPrinted>2020-03-24T13:56:00Z</cp:lastPrinted>
  <dcterms:created xsi:type="dcterms:W3CDTF">2020-04-15T10:14:00Z</dcterms:created>
  <dcterms:modified xsi:type="dcterms:W3CDTF">2020-05-07T09:31:00Z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